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 xml:space="preserve">Институт всеобщей истории Российской Академия наук 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Отдел исторической антропологии и истории повседневности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Редколлегия журнала «Одиссей. Человек в истории»</w:t>
      </w:r>
    </w:p>
    <w:p>
      <w:pPr>
        <w:pStyle w:val="NormalWeb"/>
        <w:spacing w:before="280" w:after="0"/>
        <w:jc w:val="center"/>
        <w:rPr/>
      </w:pPr>
      <w:r>
        <w:rPr/>
        <w:t>Всероссийская конференция</w:t>
      </w:r>
    </w:p>
    <w:p>
      <w:pPr>
        <w:pStyle w:val="Normal"/>
        <w:numPr>
          <w:ilvl w:val="0"/>
          <w:numId w:val="0"/>
        </w:numPr>
        <w:spacing w:lineRule="auto" w:line="288" w:before="0" w:after="0"/>
        <w:jc w:val="center"/>
        <w:outlineLvl w:val="3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ИСТОРИЧЕСКИЙ СИНТЕЗ И НАУЧНОЕ НАСЛЕДИЕ А.Я. ГУРЕВИЧА (1924-2006)</w:t>
      </w:r>
    </w:p>
    <w:p>
      <w:pPr>
        <w:pStyle w:val="Normal"/>
        <w:numPr>
          <w:ilvl w:val="0"/>
          <w:numId w:val="0"/>
        </w:numPr>
        <w:spacing w:lineRule="auto" w:line="288" w:before="0" w:after="0"/>
        <w:jc w:val="center"/>
        <w:outlineLvl w:val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spacing w:lineRule="auto" w:line="288" w:before="0" w:after="0"/>
        <w:jc w:val="center"/>
        <w:outlineLvl w:val="3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К 100-ЛЕТИЮ АРОНА ЯКОВЛЕВИЧА ГУРЕВИЧА</w:t>
      </w:r>
    </w:p>
    <w:p>
      <w:pPr>
        <w:pStyle w:val="Normal"/>
        <w:numPr>
          <w:ilvl w:val="0"/>
          <w:numId w:val="0"/>
        </w:numPr>
        <w:spacing w:lineRule="auto" w:line="288" w:before="0" w:after="0"/>
        <w:jc w:val="center"/>
        <w:outlineLvl w:val="3"/>
        <w:rPr/>
      </w:pPr>
      <w:r>
        <w:rPr/>
        <w:drawing>
          <wp:inline distT="0" distB="0" distL="0" distR="0">
            <wp:extent cx="2722880" cy="36061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30 октября-1 ноября 2024 года</w:t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</w:t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30 октября 2024 г.</w:t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Утреннее пленарное заседание 10.00 – 13.00</w:t>
      </w:r>
    </w:p>
    <w:p>
      <w:pPr>
        <w:pStyle w:val="Normal"/>
        <w:spacing w:before="0" w:after="120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Вступительное слово академика РАН А.О. Чубарьяна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bCs/>
          <w:sz w:val="28"/>
          <w:szCs w:val="28"/>
        </w:rPr>
        <w:t>. Научное наследие А.Я. Гуревича. Теория историч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еского познания. </w:t>
      </w:r>
      <w:r>
        <w:rPr>
          <w:rFonts w:cs="Times New Roman" w:ascii="Times New Roman" w:hAnsi="Times New Roman"/>
          <w:bCs/>
          <w:sz w:val="28"/>
          <w:szCs w:val="28"/>
        </w:rPr>
        <w:t>Модератор: С.И. Лучицкая</w:t>
      </w:r>
    </w:p>
    <w:p>
      <w:pPr>
        <w:pStyle w:val="Normal"/>
        <w:spacing w:lineRule="auto" w:line="240" w:before="227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П.Ю. Уваров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(ИВИ РАН, НИУ ВШЭ)</w:t>
      </w:r>
    </w:p>
    <w:p>
      <w:pPr>
        <w:pStyle w:val="Normal"/>
        <w:spacing w:lineRule="auto" w:line="240" w:before="12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Историк среди философов. А.Я. Гуревич и Институт философии АН СССР </w:t>
      </w:r>
    </w:p>
    <w:p>
      <w:pPr>
        <w:pStyle w:val="Normal"/>
        <w:spacing w:lineRule="auto" w:line="240" w:before="227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Т.Д. Соловей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(МГУ им. М.В. Ломоносова) </w:t>
      </w:r>
    </w:p>
    <w:p>
      <w:pPr>
        <w:pStyle w:val="Normal"/>
        <w:spacing w:lineRule="auto" w:line="240" w:before="12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А.Я. Гуревич: три грани личности ученого </w:t>
      </w:r>
    </w:p>
    <w:p>
      <w:pPr>
        <w:pStyle w:val="Normal"/>
        <w:spacing w:before="227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А.В. Шарова </w:t>
      </w:r>
      <w:r>
        <w:rPr>
          <w:rFonts w:cs="Times New Roman" w:ascii="Times New Roman" w:hAnsi="Times New Roman"/>
          <w:bCs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НИУ ВШЭ</w:t>
      </w:r>
      <w:r>
        <w:rPr>
          <w:rFonts w:cs="Times New Roman" w:ascii="Times New Roman" w:hAnsi="Times New Roman"/>
          <w:bCs/>
          <w:sz w:val="28"/>
          <w:szCs w:val="28"/>
        </w:rPr>
        <w:t xml:space="preserve">) 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Медиевистика 1930-х гг.: люди, концепции, проекты</w:t>
      </w:r>
    </w:p>
    <w:p>
      <w:pPr>
        <w:pStyle w:val="Normal"/>
        <w:spacing w:lineRule="auto" w:line="240" w:before="113" w:after="11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М.В. Дмитриев  </w:t>
      </w:r>
      <w:r>
        <w:rPr>
          <w:rFonts w:cs="Times New Roman" w:ascii="Times New Roman" w:hAnsi="Times New Roman"/>
          <w:bCs/>
          <w:sz w:val="28"/>
          <w:szCs w:val="28"/>
        </w:rPr>
        <w:t>(ШИН НИУ ВШЭ)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i/>
          <w:color w:val="000000"/>
          <w:sz w:val="28"/>
          <w:szCs w:val="28"/>
          <w:lang w:val="en-US" w:eastAsia="ru-RU"/>
        </w:rPr>
        <w:t>Homo</w:t>
      </w:r>
      <w:r>
        <w:rPr>
          <w:rFonts w:eastAsia="Times New Roman"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i/>
          <w:color w:val="000000"/>
          <w:sz w:val="28"/>
          <w:szCs w:val="28"/>
          <w:lang w:val="en-US" w:eastAsia="ru-RU"/>
        </w:rPr>
        <w:t>catholicus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и человек православный: </w:t>
      </w:r>
      <w:r>
        <w:rPr>
          <w:rFonts w:eastAsia="Times New Roman" w:ascii="Times New Roman" w:hAnsi="Times New Roman"/>
          <w:bCs/>
          <w:i/>
          <w:color w:val="000000"/>
          <w:sz w:val="28"/>
          <w:szCs w:val="28"/>
          <w:lang w:eastAsia="ru-RU"/>
        </w:rPr>
        <w:t>конфессиональные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ментальности в Средние века - блеф? миф? факт? </w:t>
      </w:r>
    </w:p>
    <w:p>
      <w:pPr>
        <w:pStyle w:val="Normal"/>
        <w:spacing w:lineRule="auto" w:line="240" w:before="120" w:after="0"/>
        <w:jc w:val="center"/>
        <w:rPr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8"/>
          <w:szCs w:val="28"/>
          <w:lang w:eastAsia="ru-RU"/>
          <w14:ligatures w14:val="standardContextual"/>
        </w:rPr>
        <w:t>Перерыв на обед</w:t>
      </w:r>
    </w:p>
    <w:p>
      <w:pPr>
        <w:pStyle w:val="Normal"/>
        <w:spacing w:lineRule="auto" w:line="240" w:before="113" w:after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kern w:val="2"/>
          <w:sz w:val="28"/>
          <w:szCs w:val="28"/>
          <w:lang w:eastAsia="ru-RU"/>
          <w14:ligatures w14:val="standardContextual"/>
        </w:rPr>
        <w:t>Дневное пленарное заседание 14.00  – 18.00</w:t>
      </w:r>
    </w:p>
    <w:p>
      <w:pPr>
        <w:pStyle w:val="Normal"/>
        <w:spacing w:lineRule="auto" w:line="240" w:before="12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eastAsia="ru-RU"/>
        </w:rPr>
        <w:t xml:space="preserve">М.Ю. Парамонова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(ИВИ РАН) </w:t>
      </w:r>
    </w:p>
    <w:p>
      <w:pPr>
        <w:pStyle w:val="Normal"/>
        <w:spacing w:before="0" w:after="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Историческая антропология: долгий спор о понятии и границах явления</w:t>
      </w:r>
    </w:p>
    <w:p>
      <w:pPr>
        <w:pStyle w:val="Normal"/>
        <w:spacing w:lineRule="auto" w:line="240" w:before="0" w:after="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Ю.Е. Арнаутова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(ИВИ РАН)</w:t>
      </w:r>
    </w:p>
    <w:p>
      <w:pPr>
        <w:pStyle w:val="Normal"/>
        <w:spacing w:lineRule="auto" w:line="240" w:before="0" w:after="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вопросу о церковных благословениях (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en-US" w:eastAsia="ru-RU"/>
        </w:rPr>
        <w:t>benediction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en-US" w:eastAsia="ru-RU"/>
        </w:rPr>
        <w:t>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в трудах А.Я. Гуревича</w:t>
      </w:r>
    </w:p>
    <w:p>
      <w:pPr>
        <w:pStyle w:val="Normal"/>
        <w:spacing w:before="227" w:after="0"/>
        <w:rPr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Л.А. Трахтенберг </w:t>
      </w:r>
      <w:r>
        <w:rPr>
          <w:rFonts w:cs="Times New Roman" w:ascii="Times New Roman" w:hAnsi="Times New Roman"/>
          <w:bCs/>
          <w:sz w:val="28"/>
          <w:szCs w:val="28"/>
        </w:rPr>
        <w:t xml:space="preserve"> (МГУ им. М.В. Ломоносова)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«Проблемы средневековой народной культуры» и полемика о смехе на Руси</w:t>
      </w:r>
    </w:p>
    <w:p>
      <w:pPr>
        <w:pStyle w:val="Normal"/>
        <w:spacing w:before="170" w:after="62"/>
        <w:rPr/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 xml:space="preserve">О.И. Тогоева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(ИВИ РАН)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"Книга путешествий" Джона Мандевиля и ее английские критики XVII в.</w:t>
      </w:r>
    </w:p>
    <w:p>
      <w:pPr>
        <w:pStyle w:val="Normal"/>
        <w:spacing w:before="113" w:after="6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В.А. Ведюшкин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(ИВИ РАН)</w:t>
      </w:r>
    </w:p>
    <w:p>
      <w:pPr>
        <w:pStyle w:val="Normal"/>
        <w:spacing w:lineRule="auto" w:line="240" w:before="0" w:after="57"/>
        <w:ind w:right="-284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Путешествия и архитектура: из истории двух дворцов</w:t>
      </w:r>
    </w:p>
    <w:p>
      <w:pPr>
        <w:pStyle w:val="Normal"/>
        <w:spacing w:lineRule="auto" w:line="240" w:before="0" w:after="57"/>
        <w:ind w:right="-284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Испании начала XVI в.</w:t>
      </w:r>
    </w:p>
    <w:p>
      <w:pPr>
        <w:pStyle w:val="Normal"/>
        <w:spacing w:lineRule="auto" w:line="240" w:before="0" w:after="120"/>
        <w:ind w:right="57"/>
        <w:rPr>
          <w:bCs/>
          <w:i/>
          <w:i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  <w:lang w:eastAsia="ru-RU"/>
        </w:rPr>
        <w:t>Дискуссия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14:ligatures w14:val="standardContextual"/>
        </w:rPr>
        <w:t>31 октября 2024 г.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  <w14:ligatures w14:val="standardContextual"/>
        </w:rPr>
        <w:t xml:space="preserve">Утреннее </w:t>
      </w: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</w:rPr>
        <w:t>пленарное</w:t>
      </w: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  <w14:ligatures w14:val="standardContextual"/>
        </w:rPr>
        <w:t xml:space="preserve"> заседание </w:t>
      </w:r>
      <w:r>
        <w:rPr>
          <w:rFonts w:eastAsia="Times New Roman" w:cs="Times New Roman" w:ascii="Times New Roman" w:hAnsi="Times New Roman"/>
          <w:bCs/>
          <w:i/>
          <w:iCs/>
          <w:kern w:val="2"/>
          <w:sz w:val="28"/>
          <w:szCs w:val="28"/>
          <w:lang w:eastAsia="ru-RU"/>
        </w:rPr>
        <w:t>10.00-13.00.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Древняя Русь и Скандинавия. </w:t>
      </w: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Модератор: М.Ю. Парамонова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Е.А. Мельникова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 (ИВИ РАН)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Время в древнескандинавской мифологии </w:t>
      </w:r>
    </w:p>
    <w:p>
      <w:pPr>
        <w:pStyle w:val="Normal"/>
        <w:spacing w:before="227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Т.Н. Джаксон </w:t>
      </w:r>
      <w:r>
        <w:rPr>
          <w:rFonts w:cs="Times New Roman" w:ascii="Times New Roman" w:hAnsi="Times New Roman"/>
          <w:sz w:val="28"/>
          <w:szCs w:val="28"/>
        </w:rPr>
        <w:t>(ИВИ РАН)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Время в исландских сагах </w:t>
      </w:r>
    </w:p>
    <w:p>
      <w:pPr>
        <w:pStyle w:val="Normal"/>
        <w:spacing w:lineRule="auto" w:line="240" w:before="227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kern w:val="2"/>
          <w:sz w:val="28"/>
          <w:szCs w:val="28"/>
          <w14:ligatures w14:val="standardContextual"/>
        </w:rPr>
        <w:t xml:space="preserve">И.Г. Матюшина  </w:t>
      </w: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(ИВГИ РГГУ)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Исландские</w:t>
      </w:r>
      <w:r>
        <w:rPr>
          <w:rFonts w:cs="Times New Roman" w:ascii="Times New Roman" w:hAnsi="Times New Roman"/>
          <w:sz w:val="28"/>
          <w:szCs w:val="28"/>
        </w:rPr>
        <w:t xml:space="preserve"> рыцарские саги о строптивых невестах</w:t>
      </w:r>
    </w:p>
    <w:p>
      <w:pPr>
        <w:pStyle w:val="Normal"/>
        <w:spacing w:before="170" w:after="6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В.Я. Петрухин </w:t>
      </w:r>
      <w:r>
        <w:rPr>
          <w:rFonts w:cs="Times New Roman" w:ascii="Times New Roman" w:hAnsi="Times New Roman"/>
          <w:bCs/>
          <w:sz w:val="28"/>
          <w:szCs w:val="28"/>
        </w:rPr>
        <w:t xml:space="preserve"> (ИСл РАН, НИУ ВШЭ)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«Прядь о Торстейне Морозе» и древнейший русский обычай: инфернальное в сортире</w:t>
      </w:r>
    </w:p>
    <w:p>
      <w:pPr>
        <w:pStyle w:val="Normal"/>
        <w:spacing w:lineRule="auto" w:line="240" w:before="227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А.В. Толстиков </w:t>
      </w:r>
      <w:r>
        <w:rPr>
          <w:rFonts w:cs="Times New Roman" w:ascii="Times New Roman" w:hAnsi="Times New Roman"/>
          <w:bCs/>
          <w:sz w:val="28"/>
          <w:szCs w:val="28"/>
        </w:rPr>
        <w:t>(ПетрГУ)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Рождение «Норвегии» в географическом воображении допетровской Руси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К.А. Левинсон </w:t>
      </w:r>
      <w:r>
        <w:rPr>
          <w:rFonts w:cs="Times New Roman" w:ascii="Times New Roman" w:hAnsi="Times New Roman"/>
          <w:bCs/>
          <w:sz w:val="28"/>
          <w:szCs w:val="28"/>
        </w:rPr>
        <w:t>(независимый исследователь)</w:t>
      </w:r>
    </w:p>
    <w:p>
      <w:pPr>
        <w:pStyle w:val="Normal"/>
        <w:shd w:val="clear" w:color="auto" w:fill="FFFFFF"/>
        <w:spacing w:lineRule="auto" w:line="240"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Некоторые замечания о проблематике понятия ''Другого" у А.Я. Гуревича и в современных общественных науках</w:t>
      </w:r>
    </w:p>
    <w:p>
      <w:pPr>
        <w:pStyle w:val="Normal"/>
        <w:spacing w:before="0" w:after="12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Перерыв на обед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i/>
          <w:iCs/>
          <w:sz w:val="28"/>
          <w:szCs w:val="28"/>
          <w:lang w:eastAsia="ru-RU"/>
        </w:rPr>
        <w:t>Дневное пленарное заседание 14.00-18.00</w:t>
      </w:r>
    </w:p>
    <w:p>
      <w:pPr>
        <w:pStyle w:val="Normal"/>
        <w:spacing w:before="6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А.Ф. Литвина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(НИУ ВШЭ),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Ф.Б. Успенский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(ИРЯ РАН, РАНХиГС) </w:t>
      </w:r>
    </w:p>
    <w:p>
      <w:pPr>
        <w:pStyle w:val="Normal"/>
        <w:spacing w:before="6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Загадка клана Челядниных: жизнь элит при дворе Василия III и Ивана Грозного</w:t>
      </w:r>
    </w:p>
    <w:p>
      <w:pPr>
        <w:pStyle w:val="Normal"/>
        <w:spacing w:before="6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И.Н. Данилевский </w:t>
      </w:r>
      <w:r>
        <w:rPr>
          <w:rFonts w:cs="Times New Roman" w:ascii="Times New Roman" w:hAnsi="Times New Roman"/>
          <w:sz w:val="28"/>
          <w:szCs w:val="28"/>
        </w:rPr>
        <w:t>(независимый исследователь)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Иларион называл князей Владимира и Ярослава каганами?</w:t>
      </w:r>
    </w:p>
    <w:p>
      <w:pPr>
        <w:pStyle w:val="Normal"/>
        <w:spacing w:before="227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eastAsia="ru-RU"/>
        </w:rPr>
        <w:t xml:space="preserve">П.С. Стефанович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(НИУ ВШЭ, ИРИ РАН)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Хронотоп "Задонщины" (конец XIV в.): на стыке фольклорной и книжной традиций</w:t>
      </w:r>
    </w:p>
    <w:p>
      <w:pPr>
        <w:pStyle w:val="Normal"/>
        <w:spacing w:before="227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К.Ю. Ерусалимский </w:t>
      </w:r>
      <w:r>
        <w:rPr>
          <w:rFonts w:cs="Times New Roman" w:ascii="Times New Roman" w:hAnsi="Times New Roman"/>
          <w:sz w:val="28"/>
          <w:szCs w:val="28"/>
        </w:rPr>
        <w:t xml:space="preserve">(СПбИИ РАН) </w:t>
      </w:r>
    </w:p>
    <w:p>
      <w:pPr>
        <w:pStyle w:val="Normal"/>
        <w:spacing w:lineRule="auto" w:line="240" w:before="0" w:after="6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Царь московитов Дмитрий Иванович и российская эмиграция в Речи Посполитой</w:t>
      </w:r>
    </w:p>
    <w:p>
      <w:pPr>
        <w:pStyle w:val="Normal"/>
        <w:spacing w:before="0" w:after="6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before="113" w:after="62"/>
        <w:jc w:val="both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Г.В. Бакус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(независимый исследователь)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Исследования истории ереси и инквизиции как направление в современной историографии</w:t>
      </w:r>
    </w:p>
    <w:p>
      <w:pPr>
        <w:pStyle w:val="Normal"/>
        <w:spacing w:before="113" w:after="6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Г.П. Мельников  </w:t>
      </w:r>
      <w:r>
        <w:rPr>
          <w:rFonts w:cs="Times New Roman" w:ascii="Times New Roman" w:hAnsi="Times New Roman"/>
          <w:sz w:val="28"/>
          <w:szCs w:val="28"/>
        </w:rPr>
        <w:t>(ИСл РАН)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Церковь, религия и общество в Чехии ягеллонского периода: торжество толерантности?</w:t>
      </w:r>
    </w:p>
    <w:p>
      <w:pPr>
        <w:pStyle w:val="Normal"/>
        <w:spacing w:before="227" w:after="0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kern w:val="2"/>
          <w:sz w:val="28"/>
          <w:szCs w:val="28"/>
          <w14:ligatures w14:val="standardContextual"/>
        </w:rPr>
        <w:t xml:space="preserve">М.В. Земляков </w:t>
      </w: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(НИУ ВШЭ)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Вотан, амазонки и египетский фараон: сказания о происхождении готов и лангобардов в нарративных памятниках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VI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IX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вв.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Дискуссия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14:ligatures w14:val="standardContextual"/>
        </w:rPr>
        <w:t>1 ноября 2024 г.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  <w14:ligatures w14:val="standardContextual"/>
        </w:rPr>
        <w:t xml:space="preserve">Утреннее </w:t>
      </w: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</w:rPr>
        <w:t>пленарное</w:t>
      </w:r>
      <w:r>
        <w:rPr>
          <w:rFonts w:cs="Times New Roman" w:ascii="Times New Roman" w:hAnsi="Times New Roman"/>
          <w:bCs/>
          <w:i/>
          <w:iCs/>
          <w:kern w:val="2"/>
          <w:sz w:val="28"/>
          <w:szCs w:val="28"/>
          <w14:ligatures w14:val="standardContextual"/>
        </w:rPr>
        <w:t xml:space="preserve"> заседание </w:t>
      </w:r>
      <w:r>
        <w:rPr>
          <w:rFonts w:eastAsia="Times New Roman" w:cs="Times New Roman" w:ascii="Times New Roman" w:hAnsi="Times New Roman"/>
          <w:bCs/>
          <w:i/>
          <w:iCs/>
          <w:kern w:val="2"/>
          <w:sz w:val="28"/>
          <w:szCs w:val="28"/>
          <w:lang w:eastAsia="ru-RU"/>
        </w:rPr>
        <w:t>10.00-13.00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Культурная история социального. </w:t>
      </w: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Модератор:  Ю.Е. Арнаутова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О.С. Воскобойников </w:t>
      </w:r>
      <w:r>
        <w:rPr>
          <w:rFonts w:cs="Times New Roman" w:ascii="Times New Roman" w:hAnsi="Times New Roman"/>
          <w:sz w:val="28"/>
          <w:szCs w:val="28"/>
        </w:rPr>
        <w:t>(НИУ ВШЭ)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Стили мышления и словесности в средневековой культуре</w:t>
      </w:r>
    </w:p>
    <w:p>
      <w:pPr>
        <w:pStyle w:val="Normal"/>
        <w:spacing w:before="0" w:after="60"/>
        <w:rPr>
          <w:rFonts w:eastAsia="Times New Roman" w:cs="Times New Roman"/>
          <w:i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М.Р. Майзульс </w:t>
      </w:r>
      <w:bookmarkStart w:id="1" w:name="_Hlk176807431_Копия_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(УНЦ </w:t>
      </w:r>
      <w:r>
        <w:rPr>
          <w:rFonts w:cs="Times New Roman" w:ascii="Times New Roman" w:hAnsi="Times New Roman"/>
          <w:sz w:val="28"/>
          <w:szCs w:val="28"/>
        </w:rPr>
        <w:t>визуальных исследований Средневековья и Нового времени РГГУ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bookmarkEnd w:id="1"/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Error intolerabilis</w:t>
      </w:r>
      <w:r>
        <w:rPr>
          <w:rFonts w:cs="Times New Roman" w:ascii="Times New Roman" w:hAnsi="Times New Roman"/>
          <w:sz w:val="28"/>
          <w:szCs w:val="28"/>
        </w:rPr>
        <w:t>: спор о голове св. Дионисия и (не)свобода средневекового искусства</w:t>
      </w:r>
    </w:p>
    <w:p>
      <w:pPr>
        <w:pStyle w:val="Normal"/>
        <w:spacing w:before="170" w:after="62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8"/>
          <w:szCs w:val="28"/>
          <w:lang w:eastAsia="ru-RU"/>
          <w14:ligatures w14:val="standardContextual"/>
        </w:rPr>
        <w:t xml:space="preserve">М.Ю. Реутин  </w:t>
      </w: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ru-RU"/>
          <w14:ligatures w14:val="standardContextual"/>
        </w:rPr>
        <w:t>(ШАГИ РАНХиГС)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Китоврас и Маркольф в Древней Руси и средневековой Германии</w:t>
      </w:r>
    </w:p>
    <w:p>
      <w:pPr>
        <w:pStyle w:val="Normal"/>
        <w:spacing w:before="170" w:after="62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И.К. Стаф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(ИМЛИ РАН)</w:t>
      </w:r>
    </w:p>
    <w:p>
      <w:pPr>
        <w:pStyle w:val="Normal"/>
        <w:spacing w:before="0" w:after="6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Мотив "адской охоты":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exempla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новелла</w:t>
      </w:r>
    </w:p>
    <w:p>
      <w:pPr>
        <w:pStyle w:val="Normal"/>
        <w:spacing w:lineRule="auto" w:line="240" w:before="170" w:after="6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kern w:val="2"/>
          <w:sz w:val="28"/>
          <w:szCs w:val="28"/>
          <w14:ligatures w14:val="standardContextual"/>
        </w:rPr>
        <w:t xml:space="preserve">С.И. Лучицкая  </w:t>
      </w: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(ИВИ РАН)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«Парящая гробница Магомета» в нарративной традиции христианского Запада: происхождение и функции средневекового мифа</w:t>
      </w:r>
    </w:p>
    <w:p>
      <w:pPr>
        <w:pStyle w:val="Normal"/>
        <w:spacing w:before="170" w:after="62"/>
        <w:jc w:val="both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6А.Б. Герштейн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(ИВИ РАН)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Антихрист как модель для конструирования образа лжеправителя в хрониках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вв.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Перерыв на обед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Дневное пленарное заседание  14.00-17.00</w:t>
      </w:r>
    </w:p>
    <w:p>
      <w:pPr>
        <w:pStyle w:val="Normal"/>
        <w:spacing w:before="0" w:after="120"/>
        <w:jc w:val="both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В.А. Мильчина </w:t>
      </w:r>
      <w:r>
        <w:rPr>
          <w:rFonts w:cs="Times New Roman" w:ascii="Times New Roman" w:hAnsi="Times New Roman"/>
          <w:sz w:val="28"/>
          <w:szCs w:val="28"/>
        </w:rPr>
        <w:t xml:space="preserve"> (ИВГИ РГГУ, </w:t>
      </w: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ru-RU"/>
        </w:rPr>
        <w:t>ШАГИ РАНХиГС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Французский нравоописательный очерк как исторический источник: верить или не верить?</w:t>
      </w:r>
    </w:p>
    <w:p>
      <w:pPr>
        <w:pStyle w:val="Normal"/>
        <w:spacing w:before="227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Л.А. Пименова  </w:t>
      </w:r>
      <w:r>
        <w:rPr>
          <w:rFonts w:cs="Times New Roman" w:ascii="Times New Roman" w:hAnsi="Times New Roman"/>
          <w:sz w:val="28"/>
          <w:szCs w:val="28"/>
        </w:rPr>
        <w:t>(МГУ им. М.В. Ломоносова)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Парижане под бдительным надзором полиции: деятельность секретных агентов во второй половине </w:t>
      </w:r>
      <w:r>
        <w:rPr>
          <w:rFonts w:cs="Times New Roman" w:ascii="Times New Roman" w:hAnsi="Times New Roman"/>
          <w:sz w:val="28"/>
          <w:szCs w:val="28"/>
          <w:lang w:val="fr-FR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в.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Е.А. Забродина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 xml:space="preserve">НИУ ВШЭ, </w:t>
      </w:r>
      <w:r>
        <w:rPr>
          <w:rFonts w:cs="Times New Roman" w:ascii="Times New Roman" w:hAnsi="Times New Roman"/>
          <w:sz w:val="28"/>
          <w:szCs w:val="28"/>
        </w:rPr>
        <w:t>МГУ им. М.В. Ломоносова)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Живопись для «удалившихся от мира»: особенности заказа монастырей в живописных мастерских Брюгге в </w:t>
      </w:r>
      <w:r>
        <w:rPr>
          <w:rFonts w:cs="Times New Roman" w:ascii="Times New Roman" w:hAnsi="Times New Roman"/>
          <w:sz w:val="28"/>
          <w:szCs w:val="28"/>
          <w:lang w:val="en-US"/>
        </w:rPr>
        <w:t>XV</w:t>
      </w:r>
      <w:r>
        <w:rPr>
          <w:rFonts w:cs="Times New Roman" w:ascii="Times New Roman" w:hAnsi="Times New Roman"/>
          <w:sz w:val="28"/>
          <w:szCs w:val="28"/>
        </w:rPr>
        <w:t xml:space="preserve"> в.</w:t>
      </w:r>
    </w:p>
    <w:p>
      <w:pPr>
        <w:pStyle w:val="Normal"/>
        <w:spacing w:before="0" w:after="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Э.Э. Отакулов  </w:t>
      </w:r>
      <w:r>
        <w:rPr>
          <w:rFonts w:cs="Times New Roman" w:ascii="Times New Roman" w:hAnsi="Times New Roman"/>
          <w:bCs/>
          <w:sz w:val="28"/>
          <w:szCs w:val="28"/>
        </w:rPr>
        <w:t>(НИУ ВШЭ)</w:t>
      </w:r>
    </w:p>
    <w:p>
      <w:pPr>
        <w:pStyle w:val="Normal"/>
        <w:spacing w:lineRule="auto" w:line="240" w:before="0" w:after="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  <w14:ligatures w14:val="standardContextual"/>
        </w:rPr>
        <w:t>Путешествие Карла Великого в Иерусалим: от легенды к истории</w:t>
      </w:r>
    </w:p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Дискуссия. Подведение итогов</w:t>
      </w:r>
    </w:p>
    <w:p>
      <w:pPr>
        <w:pStyle w:val="Normal"/>
        <w:spacing w:before="0" w:after="12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before="0" w:after="12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Регламент: доклад - 20 минут, обсуждение- 10 минут </w:t>
      </w:r>
    </w:p>
    <w:p>
      <w:pPr>
        <w:pStyle w:val="Normal"/>
        <w:spacing w:before="0" w:after="12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Место проведения: Москва, Ленинский проспект 32а (здание Президиума РАН), 14 этаж,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Ауд. 1406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֍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3"/>
      <w:type w:val="nextPage"/>
      <w:pgSz w:w="8391" w:h="11906"/>
      <w:pgMar w:left="1040" w:right="850" w:gutter="0" w:header="0" w:top="650" w:footer="446" w:bottom="118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center"/>
      <w:rPr>
        <w:color w:val="FFFFFF"/>
      </w:rPr>
    </w:pPr>
    <w:bookmarkStart w:id="2" w:name="PageNumWizard_FOOTER_Базовый1"/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color w:val="FFFFFF"/>
      </w:rPr>
      <w:t>7</w:t>
    </w:r>
    <w:r>
      <w:rPr>
        <w:color w:val="FFFFFF"/>
      </w:rPr>
      <w:fldChar w:fldCharType="end"/>
    </w:r>
    <w:bookmarkEnd w:id="2"/>
  </w:p>
</w:ftr>
</file>

<file path=word/settings.xml><?xml version="1.0" encoding="utf-8"?>
<w:settings xmlns:w="http://schemas.openxmlformats.org/wordprocessingml/2006/main">
  <w:zoom w:val="bestFit" w:percent="23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3a5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83a8f"/>
    <w:rPr>
      <w:rFonts w:ascii="Tahoma" w:hAnsi="Tahoma" w:cs="Tahoma"/>
      <w:sz w:val="16"/>
      <w:szCs w:val="16"/>
    </w:rPr>
  </w:style>
  <w:style w:type="character" w:styleId="Style1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33a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83a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3250" w:leader="none"/>
        <w:tab w:val="right" w:pos="6501" w:leader="none"/>
      </w:tabs>
    </w:pPr>
    <w:rPr/>
  </w:style>
  <w:style w:type="paragraph" w:styleId="Footer">
    <w:name w:val="Footer"/>
    <w:basedOn w:val="Style20"/>
    <w:pPr/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8</Pages>
  <Words>617</Words>
  <Characters>3917</Characters>
  <CharactersWithSpaces>4471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2024-10-20T07:52:00Z</dcterms:created>
  <dc:creator>User</dc:creator>
  <dc:description/>
  <dc:language>ru-RU</dc:language>
  <cp:lastModifiedBy/>
  <dcterms:modified xsi:type="dcterms:W3CDTF">2024-10-20T11:42:15Z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